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D" w:rsidRDefault="00A46F8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6F8D" w:rsidRDefault="00A46F8D">
      <w:pPr>
        <w:pStyle w:val="ConsPlusNormal"/>
        <w:jc w:val="both"/>
        <w:outlineLvl w:val="0"/>
      </w:pPr>
    </w:p>
    <w:p w:rsidR="00A46F8D" w:rsidRDefault="00A46F8D">
      <w:pPr>
        <w:pStyle w:val="ConsPlusNormal"/>
        <w:outlineLvl w:val="0"/>
      </w:pPr>
      <w:r>
        <w:t>Зарегистрировано в Минюсте России 24 декабря 2020 г. N 61795</w:t>
      </w:r>
    </w:p>
    <w:p w:rsidR="00A46F8D" w:rsidRDefault="00A46F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A46F8D" w:rsidRDefault="00A46F8D">
      <w:pPr>
        <w:pStyle w:val="ConsPlusTitle"/>
        <w:jc w:val="center"/>
      </w:pPr>
      <w:r>
        <w:t>И АТОМНОМУ НАДЗОРУ</w:t>
      </w:r>
    </w:p>
    <w:p w:rsidR="00A46F8D" w:rsidRDefault="00A46F8D">
      <w:pPr>
        <w:pStyle w:val="ConsPlusTitle"/>
        <w:jc w:val="center"/>
      </w:pPr>
    </w:p>
    <w:p w:rsidR="00A46F8D" w:rsidRDefault="00A46F8D">
      <w:pPr>
        <w:pStyle w:val="ConsPlusTitle"/>
        <w:jc w:val="center"/>
      </w:pPr>
      <w:r>
        <w:t>ПРИКАЗ</w:t>
      </w:r>
    </w:p>
    <w:p w:rsidR="00A46F8D" w:rsidRDefault="00A46F8D">
      <w:pPr>
        <w:pStyle w:val="ConsPlusTitle"/>
        <w:jc w:val="center"/>
      </w:pPr>
      <w:r>
        <w:t>от 1 декабря 2020 г. N 478</w:t>
      </w:r>
    </w:p>
    <w:p w:rsidR="00A46F8D" w:rsidRDefault="00A46F8D">
      <w:pPr>
        <w:pStyle w:val="ConsPlusTitle"/>
        <w:jc w:val="center"/>
      </w:pPr>
    </w:p>
    <w:p w:rsidR="00A46F8D" w:rsidRDefault="00A46F8D">
      <w:pPr>
        <w:pStyle w:val="ConsPlusTitle"/>
        <w:jc w:val="center"/>
      </w:pPr>
      <w:r>
        <w:t>ОБ УТВЕРЖДЕНИИ ФЕДЕРАЛЬНЫХ НОРМ И ПРАВИЛ</w:t>
      </w:r>
    </w:p>
    <w:p w:rsidR="00A46F8D" w:rsidRDefault="00A46F8D">
      <w:pPr>
        <w:pStyle w:val="ConsPlusTitle"/>
        <w:jc w:val="center"/>
      </w:pPr>
      <w:r>
        <w:t>В ОБЛАСТИ ПРОМЫШЛЕННОЙ БЕЗОПАСНОСТИ "ОСНОВНЫЕ ТРЕБОВАНИЯ</w:t>
      </w:r>
    </w:p>
    <w:p w:rsidR="00A46F8D" w:rsidRDefault="00A46F8D">
      <w:pPr>
        <w:pStyle w:val="ConsPlusTitle"/>
        <w:jc w:val="center"/>
      </w:pPr>
      <w:r>
        <w:t>К ПРОВЕДЕНИЮ НЕРАЗРУШАЮЩЕГО КОНТРОЛЯ ТЕХНИЧЕСКИХ УСТРОЙСТВ,</w:t>
      </w:r>
    </w:p>
    <w:p w:rsidR="00A46F8D" w:rsidRDefault="00A46F8D">
      <w:pPr>
        <w:pStyle w:val="ConsPlusTitle"/>
        <w:jc w:val="center"/>
      </w:pPr>
      <w:r>
        <w:t>ЗДАНИЙ И СООРУЖЕНИЙ НА ОПАСНЫХ ПРОИЗВОДСТВЕННЫХ ОБЪЕКТАХ"</w:t>
      </w: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5.2.2.16(1)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2020, N 27, ст. 4248), приказываю: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 xml:space="preserve">1. Утвердить прилагаемые федеральные </w:t>
      </w:r>
      <w:hyperlink w:anchor="P32" w:history="1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"Основные требования к проведению неразрушающего контроля технических устройств, зданий и сооружений на опасных производственных объектах".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Normal"/>
        <w:jc w:val="right"/>
      </w:pPr>
      <w:r>
        <w:t>Руководитель</w:t>
      </w:r>
    </w:p>
    <w:p w:rsidR="00A46F8D" w:rsidRDefault="00A46F8D">
      <w:pPr>
        <w:pStyle w:val="ConsPlusNormal"/>
        <w:jc w:val="right"/>
      </w:pPr>
      <w:r>
        <w:t>А.В.АЛЕШИН</w:t>
      </w: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Normal"/>
        <w:jc w:val="right"/>
        <w:outlineLvl w:val="0"/>
      </w:pPr>
      <w:r>
        <w:t>Утверждены</w:t>
      </w:r>
    </w:p>
    <w:p w:rsidR="00A46F8D" w:rsidRDefault="00A46F8D">
      <w:pPr>
        <w:pStyle w:val="ConsPlusNormal"/>
        <w:jc w:val="right"/>
      </w:pPr>
      <w:r>
        <w:t>приказом Федеральной службы</w:t>
      </w:r>
    </w:p>
    <w:p w:rsidR="00A46F8D" w:rsidRDefault="00A46F8D">
      <w:pPr>
        <w:pStyle w:val="ConsPlusNormal"/>
        <w:jc w:val="right"/>
      </w:pPr>
      <w:r>
        <w:t>по экологическому, технологическому</w:t>
      </w:r>
    </w:p>
    <w:p w:rsidR="00A46F8D" w:rsidRDefault="00A46F8D">
      <w:pPr>
        <w:pStyle w:val="ConsPlusNormal"/>
        <w:jc w:val="right"/>
      </w:pPr>
      <w:r>
        <w:t>и атомному надзору</w:t>
      </w:r>
    </w:p>
    <w:p w:rsidR="00A46F8D" w:rsidRDefault="00A46F8D">
      <w:pPr>
        <w:pStyle w:val="ConsPlusNormal"/>
        <w:jc w:val="right"/>
      </w:pPr>
      <w:r>
        <w:t>от 1 декабря 2020 г. N 478</w:t>
      </w: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Title"/>
        <w:jc w:val="center"/>
      </w:pPr>
      <w:bookmarkStart w:id="0" w:name="P32"/>
      <w:bookmarkEnd w:id="0"/>
      <w:r>
        <w:t>ФЕДЕРАЛЬНЫЕ НОРМЫ И ПРАВИЛА</w:t>
      </w:r>
    </w:p>
    <w:p w:rsidR="00A46F8D" w:rsidRDefault="00A46F8D">
      <w:pPr>
        <w:pStyle w:val="ConsPlusTitle"/>
        <w:jc w:val="center"/>
      </w:pPr>
      <w:r>
        <w:t>В ОБЛАСТИ ПРОМЫШЛЕННОЙ БЕЗОПАСНОСТИ "ОСНОВНЫЕ ТРЕБОВАНИЯ</w:t>
      </w:r>
    </w:p>
    <w:p w:rsidR="00A46F8D" w:rsidRDefault="00A46F8D">
      <w:pPr>
        <w:pStyle w:val="ConsPlusTitle"/>
        <w:jc w:val="center"/>
      </w:pPr>
      <w:r>
        <w:t>К ПРОВЕДЕНИЮ НЕРАЗРУШАЮЩЕГО КОНТРОЛЯ ТЕХНИЧЕСКИХ УСТРОЙСТВ,</w:t>
      </w:r>
    </w:p>
    <w:p w:rsidR="00A46F8D" w:rsidRDefault="00A46F8D">
      <w:pPr>
        <w:pStyle w:val="ConsPlusTitle"/>
        <w:jc w:val="center"/>
      </w:pPr>
      <w:r>
        <w:t>ЗДАНИЙ И СООРУЖЕНИЙ НА ОПАСНЫХ ПРОИЗВОДСТВЕННЫХ ОБЪЕКТАХ"</w:t>
      </w: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Normal"/>
        <w:ind w:firstLine="540"/>
        <w:jc w:val="both"/>
      </w:pPr>
      <w:r>
        <w:t>1. Федеральные нормы и правила в области промышленной безопасности "Основные требования к проведению неразрушающего контроля технических устройств, зданий и сооружений на опасных производственных объектах" (далее - ФНП) разработаны в целях создания организационной и нормативно-правовой основы обеспечения промышленной безопасности при проведении неразрушающего контроля (далее - НК).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 xml:space="preserve">2. ФНП устанавливают требования к проведению НК технических устройств (в том числе передвижных), применяемых (эксплуатируемых) на опасных производственных объектах (далее - ОПО), зданий и сооружений на ОПО, предназначенных для осуществления технологических </w:t>
      </w:r>
      <w:r>
        <w:lastRenderedPageBreak/>
        <w:t>процессов, хранения сырья или продукции, перемещения людей и грузов, локализации и ликвидации последствий аварий, при осуществлении видов деятельности в области промышленной безопасности, для обеспечения контроля фактического технического состояния технических устройств, зданий и сооружений на ОПО и контроля качества работ, выполняемых в отношении них.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 xml:space="preserve">ФНП не распространяются на работы по оценке (подтверждению) соответствия, проводимые органами по сертификации, испытательными лабораториями и иными лицами, аккредитованными на осуществление указанной деятельности в соответствии с </w:t>
      </w:r>
      <w:hyperlink r:id="rId7" w:history="1">
        <w:r>
          <w:rPr>
            <w:color w:val="0000FF"/>
          </w:rPr>
          <w:t>главой 4</w:t>
        </w:r>
      </w:hyperlink>
      <w:r>
        <w:t xml:space="preserve"> Федерального закона от 27.12.2002 N 184-ФЗ "О техническом регулировании" (Собрание законодательства Российской Федерации, 2002, N 52, ст. 5140; 2018, N 49, ст. 7521).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3. Требования ФНП предназначены для юридических лиц и индивидуальных предпринимателей, выполняющих НК технических устройств, а также зданий и сооружений на ОПО, в том числе их конструкций, элементов, сборочных единиц, деталей, полуфабрикатов, заготовок и материалов (далее - объекты контроля).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4. Работы по НК предусматривают: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дефектоскопию объектов контроля, в том числе с проведением дефектометрии;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измерение объектов контроля, включая их толщинометрию;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контроль свойств объектов контроля.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5. НК осуществляется с применением следующих методов, видов контроля: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визуального и измерительного (ВИК);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ультразвукового (УК);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акустико-эмиссионного (АЭ);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радиографического (РК);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магнитного (МК);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вихретокового (ВК);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проникающими веществами: капиллярного (ПВК), течеискания (ПВТ);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вибродиагностического (ВД);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электрического (ЭК);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теплового (ТК);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оптического (ОК).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6. Выбор методов, видов НК или их совокупности, а также технологий, объемов, последовательности и средств НК, осуществляется исходя из условия применения наиболее эффективных методов, видов НК, обеспечивающих выявляемость недопустимых отклонений (дефектов, несоответствий) в каждом случае его проведения. Ответственным лицом за применение конкретных методов, видов контроля является руководитель работ по контролю - руководитель лаборатории (подразделения, осуществляющего НК).</w:t>
      </w:r>
    </w:p>
    <w:p w:rsidR="00A46F8D" w:rsidRDefault="00A46F8D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7. Необходимость применения НК (случаи проведения НК) и используемые при этом методы </w:t>
      </w:r>
      <w:r>
        <w:lastRenderedPageBreak/>
        <w:t>(виды), объемы, последовательность и средства НК, нормы оценки (критерии технического состояния) определяются с учетом требований к объектам контроля, установленных федеральными нормами и правилами в области промышленной безопасности, проектной (конструкторской), технической и технологической документацией, с учетом анализа рисков и возможностей, связанных с НК.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8. Работы по НК технических устройств, а также зданий и сооружений на ОПО должны осуществляться независимыми лабораториями или лабораториями, входящими в структуру организаций, осуществляющих деятельность в области промышленной безопасности, при условии обеспечения принципа беспристрастности.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Лаборатории должны располагать подготовленным и аттестованным персоналом, средствами НК, вспомогательным оборудованием, материалами и принадлежностями, нормативными техническими и методическими документами, организационно-техническими возможностями, обеспечивающими проведение видов (методов) НК, указанных в документации лаборатории (паспорт лаборатории, руководство по качеству), определяющей область ее деятельности, характер и объем выполняемых лабораторией НК работ.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 xml:space="preserve">Работы по визуальному и измерительному контролю при осуществлении технического контроля могут также выполняться подразделениями юридического лица или индивидуального предпринимателя, персонал которых соответствует требованиям </w:t>
      </w:r>
      <w:hyperlink w:anchor="P62" w:history="1">
        <w:r>
          <w:rPr>
            <w:color w:val="0000FF"/>
          </w:rPr>
          <w:t>пункта 9</w:t>
        </w:r>
      </w:hyperlink>
      <w:r>
        <w:t xml:space="preserve"> ФНП.</w:t>
      </w:r>
    </w:p>
    <w:p w:rsidR="00A46F8D" w:rsidRDefault="00A46F8D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9. Лаборатории и работники, выполняющие НК технических устройств, зданий и сооружений на ОПО при осуществлении деятельности, должны подтвердить компетентность по установленной области НК в независимых органах по аттестации системы НК, сформированной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марта 2001 г. N 241 "О мерах по обеспечению промышленной безопасности опасных производственных объектов на территории Российской Федерации" (Собрание законодательства Российской Федерации, 2001, N 15, ст. 1489; 2011, N 7, ст. 979), если иные требования не установлены требованиями законодательных и иных нормативных правовых актов Российской Федерации, действующих на момент подтверждения компетентности.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 xml:space="preserve">Руководители организаций, в состав которых входят лаборатории НК, руководители (технические руководители, их заместители) лабораторий (подразделений, осуществляющих НК) должны проходить подготовку и аттестацию в области промышленной безопасности в объеме вопросов и требований, необходимых для исполнения ими трудовых обязанностей в соответствии с требованиями </w:t>
      </w:r>
      <w:hyperlink r:id="rId9" w:history="1">
        <w:r>
          <w:rPr>
            <w:color w:val="0000FF"/>
          </w:rPr>
          <w:t>пунктов 1</w:t>
        </w:r>
      </w:hyperlink>
      <w:r>
        <w:t xml:space="preserve"> и </w:t>
      </w:r>
      <w:hyperlink r:id="rId10" w:history="1">
        <w:r>
          <w:rPr>
            <w:color w:val="0000FF"/>
          </w:rPr>
          <w:t>2 статьи 14.1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2018, N 31, ст. 4860). Иные работники лабораторий (дефектоскописты) проходят проверку знаний утвержденной в лаборатории документации, устанавливающей порядок и технологию производства работ по НК в соответствии с областью деятельности, характером и объемом выполняемых лабораторией НК работ.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 xml:space="preserve">10. Работы по НК выполняются в соответствии с документами по НК, позволяющими реализовать требования </w:t>
      </w:r>
      <w:hyperlink w:anchor="P58" w:history="1">
        <w:r>
          <w:rPr>
            <w:color w:val="0000FF"/>
          </w:rPr>
          <w:t>пункта 7</w:t>
        </w:r>
      </w:hyperlink>
      <w:r>
        <w:t xml:space="preserve"> ФНП и включающими в себя следующую информацию: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наименование объектов контроля, на которые распространяется документ;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метод (вид) НК;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характеристики элементов объектов контроля (номенклатура, типоразмеры, материал, заводские (инвентарные, регистрационные, учетные) номера), которые должны быть проконтролированы;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характеристики выявляемых отклонений (дефектов, несоответствий);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lastRenderedPageBreak/>
        <w:t>параметры (характеристики) НК и (или) технических средств НК;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объем и периодичность НК;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требования к исполнителям;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требования к применяемым техническим средствам НК;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требования к организации НК (обеспечение электроэнергией, водой, сжатым воздухом, оснащение заземляющими шинами, вентиляцией, средствами защиты от источников излучения (постов электросварки, резки), освещенность (облученность) объекта контроля, утилизация отработанных материалов, наличие строительных подмостей и лесов, лестниц, подъемников);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порядок проведения НК;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требования к выполнению работ по НК;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нормы оценки (критерии технического состояния) объектов контроля или ссылки на документы, содержащие нормы оценки (критерии технического состояния) объектов контроля;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требования к оформлению результатов НК, формированию выводов и интерпретаций по результатам НК;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требования по обеспечению безопасности проведения НК.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11. Проверка технического состояния средств НК, вспомогательного оборудования и принадлежностей, используемых при проведении НК, проводится назначенным работником (работниками) лаборатории (подразделения, осуществляющего НК) периодически по графику проверки технического состояния средств НК, вспомогательного оборудования и принадлежностей, а также после ремонта в соответствии с указаниями паспортов (формуляров) и руководств по эксплуатации средств НК, вспомогательного оборудования и принадлежностей.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График проверки технического состояния средств НК, вспомогательного оборудования и принадлежностей разрабатывается ежегодно и утверждается руководителем лаборатории (подразделения, осуществляющего НК). Сведения о периодических (внеочередных) проверках и контролируемых параметрах вносятся в соответствующие разделы паспортов (формуляров) на средства НК, вспомогательное оборудование и принадлежности или оформляются актом.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Каждая партия материалов для НК (порошки, суспензии, пенетранты, радиографические пленки, химические реактивы) до начала применения подвергается входному контролю с оформлением отчетного документа, при котором проверяются: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наличие на каждом упаковочном месте (пачке, коробке, емкости) этикеток (сертификатов), полнота приведенных в них данных и соответствие этих данных требованиям стандартов или технических условий на контролируемые материалы (при изготовлении реактивов и пенетрантов для собственных нужд проверяются только наличие этикетки и наименование реактива или пенетранта);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отсутствие повреждений упаковки и материалов;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срок годности;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соответствие материалов применяемому методу (виду) НК.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 xml:space="preserve">12. К выполнению работ по НК допускаются средства измерений, соответствующие требованиям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26 июня 2008 г. N 102-ФЗ "Об обеспечении единства измерений" (Собрание законодательства Российской Федерации, 2008, N 26, ст. 3021; 2019, N 52, </w:t>
      </w:r>
      <w:r>
        <w:lastRenderedPageBreak/>
        <w:t>ст. 7814), имеющие действующие свидетельства о поверке (калибровке). Поверка (калибровка) средств измерений должна осуществляться согласно графику, утвержденному руководителем юридического лица или индивидуальным предпринимателем.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К применению при НК допускаются сертифицированные средства и алгоритмы автоматической интерпретации результатов НК.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13. Результаты по каждому методу (виду) НК должны содержать сведения о проконтролированных объектах, параметрах, объемах и средствах НК, перечень документов, используемых при НК и оценке его результатов, информацию о времени (дате) и месте проведения НК, выводы о соответствии или несоответствии объекта НК установленным требованиям. Результаты должны фиксироваться в отчетной документации (журналах, формулярах, заключениях, отчетах, актах, протоколах) с указанием фамилий, имен, отчеств (при наличии) и подписями работников, выполнявших НК и давших заключение по результатам НК.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Результаты НК должны храниться: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в составе эксплуатационных документов объекта контроля в течение всего срока его эксплуатации;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в лаборатории (подразделении, осуществляющем НК) в соответствии с установленными правилами организации и ведения архива результатов НК не менее 5 лет после проведения НК, за исключением результатов НК, вошедших в состав документов, на основании которых назначены или изменены сроки службы (ресурсы) объектов контроля. Срок хранения таких результатов в лаборатории должен быть не менее срока, установленного этими документами.</w:t>
      </w:r>
    </w:p>
    <w:p w:rsidR="00A46F8D" w:rsidRDefault="00A46F8D">
      <w:pPr>
        <w:pStyle w:val="ConsPlusNormal"/>
        <w:spacing w:before="220"/>
        <w:ind w:firstLine="540"/>
        <w:jc w:val="both"/>
      </w:pPr>
      <w:r>
        <w:t>Хранение и архивирование документов с результатами НК осуществляется на бумажных носителях и (или) в форме электронных документов, подписанных усиленной квалифицированной подписью, с возможностью резервного копирования и восстановления документов.</w:t>
      </w: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Normal"/>
        <w:jc w:val="both"/>
      </w:pPr>
    </w:p>
    <w:p w:rsidR="00A46F8D" w:rsidRDefault="00A46F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FD8" w:rsidRDefault="00810FD8">
      <w:bookmarkStart w:id="3" w:name="_GoBack"/>
      <w:bookmarkEnd w:id="3"/>
    </w:p>
    <w:sectPr w:rsidR="00810FD8" w:rsidSect="00A2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8D"/>
    <w:rsid w:val="00810FD8"/>
    <w:rsid w:val="00A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F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F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341E916CA2D3342E9E2AF2B951F365F91CB64784AA56D3CF437A40F6EA7373DA4F3130C7AB505AD150C796BrDJ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1341E916CA2D3342E9E2AF2B951F365D97C9617A45A56D3CF437A40F6EA7372FA4AB1F0D72A906AD005A282D847B4AF62875E7F456952Fr8J7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1341E916CA2D3342E9E2AF2B951F365D97C9677344A56D3CF437A40F6EA7372FA4AB1F0D72A901AC005A282D847B4AF62875E7F456952Fr8J7L" TargetMode="External"/><Relationship Id="rId11" Type="http://schemas.openxmlformats.org/officeDocument/2006/relationships/hyperlink" Target="consultantplus://offline/ref=B51341E916CA2D3342E9E2AF2B951F365D96CD617F42A56D3CF437A40F6EA7373DA4F3130C7AB505AD150C796BrDJ0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B51341E916CA2D3342E9E2AF2B951F365D97CB637B46A56D3CF437A40F6EA7372FA4AB1D0C73A051FD4F5B7468D9684BFF2877E6E8r5J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1341E916CA2D3342E9E2AF2B951F365D97CB637B46A56D3CF437A40F6EA7372FA4AB1D0C72A051FD4F5B7468D9684BFF2877E6E8r5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Шеремет</dc:creator>
  <cp:lastModifiedBy>Наталья Шеремет</cp:lastModifiedBy>
  <cp:revision>1</cp:revision>
  <dcterms:created xsi:type="dcterms:W3CDTF">2021-01-18T11:09:00Z</dcterms:created>
  <dcterms:modified xsi:type="dcterms:W3CDTF">2021-01-18T11:10:00Z</dcterms:modified>
</cp:coreProperties>
</file>